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661301">
      <w:pPr>
        <w:spacing w:line="540" w:lineRule="exact"/>
        <w:jc w:val="left"/>
        <w:rPr>
          <w:rFonts w:ascii="仿宋" w:hAnsi="仿宋" w:eastAsia="仿宋" w:cs="宋体"/>
          <w:kern w:val="0"/>
          <w:sz w:val="32"/>
          <w:szCs w:val="32"/>
        </w:rPr>
      </w:pPr>
    </w:p>
    <w:p w14:paraId="44EB72E1">
      <w:pPr>
        <w:spacing w:line="540" w:lineRule="exact"/>
        <w:jc w:val="center"/>
        <w:rPr>
          <w:rFonts w:ascii="华文中宋" w:hAnsi="华文中宋" w:eastAsia="华文中宋" w:cs="宋体"/>
          <w:b/>
          <w:kern w:val="0"/>
          <w:sz w:val="52"/>
          <w:szCs w:val="52"/>
        </w:rPr>
      </w:pPr>
    </w:p>
    <w:p w14:paraId="63223D53">
      <w:pPr>
        <w:spacing w:line="540" w:lineRule="exact"/>
        <w:jc w:val="center"/>
        <w:rPr>
          <w:rFonts w:ascii="华文中宋" w:hAnsi="华文中宋" w:eastAsia="华文中宋" w:cs="宋体"/>
          <w:b/>
          <w:kern w:val="0"/>
          <w:sz w:val="52"/>
          <w:szCs w:val="52"/>
        </w:rPr>
      </w:pPr>
    </w:p>
    <w:p w14:paraId="5CE529A7">
      <w:pPr>
        <w:spacing w:line="540" w:lineRule="exact"/>
        <w:jc w:val="center"/>
        <w:rPr>
          <w:rFonts w:ascii="华文中宋" w:hAnsi="华文中宋" w:eastAsia="华文中宋" w:cs="宋体"/>
          <w:b/>
          <w:kern w:val="0"/>
          <w:sz w:val="52"/>
          <w:szCs w:val="52"/>
        </w:rPr>
      </w:pPr>
    </w:p>
    <w:p w14:paraId="06232B95">
      <w:pPr>
        <w:spacing w:line="540" w:lineRule="exact"/>
        <w:jc w:val="center"/>
        <w:rPr>
          <w:rFonts w:ascii="华文中宋" w:hAnsi="华文中宋" w:eastAsia="华文中宋" w:cs="宋体"/>
          <w:b/>
          <w:kern w:val="0"/>
          <w:sz w:val="52"/>
          <w:szCs w:val="52"/>
        </w:rPr>
      </w:pPr>
    </w:p>
    <w:p w14:paraId="3ECC2D91">
      <w:pPr>
        <w:spacing w:line="540" w:lineRule="exact"/>
        <w:jc w:val="center"/>
        <w:rPr>
          <w:rFonts w:ascii="华文中宋" w:hAnsi="华文中宋" w:eastAsia="华文中宋" w:cs="宋体"/>
          <w:b/>
          <w:kern w:val="0"/>
          <w:sz w:val="52"/>
          <w:szCs w:val="52"/>
        </w:rPr>
      </w:pPr>
    </w:p>
    <w:p w14:paraId="50333B8E">
      <w:pPr>
        <w:spacing w:line="540" w:lineRule="exact"/>
        <w:jc w:val="center"/>
        <w:rPr>
          <w:rFonts w:ascii="华文中宋" w:hAnsi="华文中宋" w:eastAsia="华文中宋" w:cs="宋体"/>
          <w:b/>
          <w:kern w:val="0"/>
          <w:sz w:val="52"/>
          <w:szCs w:val="52"/>
        </w:rPr>
      </w:pPr>
    </w:p>
    <w:p w14:paraId="2ED23A8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47AA07EB">
      <w:pPr>
        <w:spacing w:line="540" w:lineRule="exact"/>
        <w:jc w:val="center"/>
        <w:rPr>
          <w:rFonts w:ascii="华文中宋" w:hAnsi="华文中宋" w:eastAsia="华文中宋" w:cs="宋体"/>
          <w:b/>
          <w:kern w:val="0"/>
          <w:sz w:val="52"/>
          <w:szCs w:val="52"/>
        </w:rPr>
      </w:pPr>
    </w:p>
    <w:p w14:paraId="74BC9730">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8A4C10E">
      <w:pPr>
        <w:spacing w:line="540" w:lineRule="exact"/>
        <w:jc w:val="center"/>
        <w:rPr>
          <w:rFonts w:hAnsi="宋体" w:eastAsia="仿宋_GB2312" w:cs="宋体"/>
          <w:kern w:val="0"/>
          <w:sz w:val="30"/>
          <w:szCs w:val="30"/>
        </w:rPr>
      </w:pPr>
    </w:p>
    <w:p w14:paraId="2A1F73D2">
      <w:pPr>
        <w:spacing w:line="540" w:lineRule="exact"/>
        <w:jc w:val="center"/>
        <w:rPr>
          <w:rFonts w:hAnsi="宋体" w:eastAsia="仿宋_GB2312" w:cs="宋体"/>
          <w:kern w:val="0"/>
          <w:sz w:val="30"/>
          <w:szCs w:val="30"/>
        </w:rPr>
      </w:pPr>
    </w:p>
    <w:p w14:paraId="3791E94B">
      <w:pPr>
        <w:spacing w:line="540" w:lineRule="exact"/>
        <w:jc w:val="both"/>
        <w:rPr>
          <w:rFonts w:hAnsi="宋体" w:eastAsia="仿宋_GB2312" w:cs="宋体"/>
          <w:kern w:val="0"/>
          <w:sz w:val="30"/>
          <w:szCs w:val="30"/>
        </w:rPr>
      </w:pPr>
    </w:p>
    <w:p w14:paraId="4DFBA041">
      <w:pPr>
        <w:spacing w:line="540" w:lineRule="exact"/>
        <w:jc w:val="center"/>
        <w:rPr>
          <w:rFonts w:hAnsi="宋体" w:eastAsia="仿宋_GB2312" w:cs="宋体"/>
          <w:kern w:val="0"/>
          <w:sz w:val="30"/>
          <w:szCs w:val="30"/>
        </w:rPr>
      </w:pPr>
    </w:p>
    <w:p w14:paraId="347FE95A">
      <w:pPr>
        <w:spacing w:line="540" w:lineRule="exact"/>
        <w:rPr>
          <w:rFonts w:hAnsi="宋体" w:eastAsia="仿宋_GB2312" w:cs="宋体"/>
          <w:kern w:val="0"/>
          <w:sz w:val="30"/>
          <w:szCs w:val="30"/>
        </w:rPr>
      </w:pPr>
    </w:p>
    <w:p w14:paraId="4B66B9E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3447C09">
      <w:pPr>
        <w:spacing w:line="700" w:lineRule="exact"/>
        <w:ind w:firstLine="803" w:firstLineChars="250"/>
        <w:jc w:val="left"/>
        <w:rPr>
          <w:rFonts w:hint="eastAsia" w:ascii="仿宋" w:hAnsi="仿宋" w:eastAsia="仿宋" w:cs="仿宋"/>
          <w:b w:val="0"/>
          <w:bCs w:val="0"/>
          <w:kern w:val="0"/>
          <w:sz w:val="32"/>
          <w:szCs w:val="32"/>
        </w:rPr>
      </w:pPr>
      <w:r>
        <w:rPr>
          <w:rFonts w:hint="eastAsia" w:ascii="仿宋" w:hAnsi="仿宋" w:eastAsia="仿宋" w:cs="仿宋"/>
          <w:b/>
          <w:bCs/>
          <w:kern w:val="0"/>
          <w:sz w:val="32"/>
          <w:szCs w:val="32"/>
        </w:rPr>
        <w:t>项目名称</w:t>
      </w:r>
      <w:r>
        <w:rPr>
          <w:rFonts w:hint="eastAsia" w:ascii="仿宋" w:hAnsi="仿宋" w:eastAsia="仿宋" w:cs="仿宋"/>
          <w:b w:val="0"/>
          <w:bCs w:val="0"/>
          <w:kern w:val="0"/>
          <w:sz w:val="32"/>
          <w:szCs w:val="32"/>
        </w:rPr>
        <w:t>：</w:t>
      </w:r>
      <w:r>
        <w:rPr>
          <w:rStyle w:val="18"/>
          <w:rFonts w:hint="eastAsia" w:ascii="仿宋" w:hAnsi="仿宋" w:eastAsia="仿宋" w:cs="仿宋"/>
          <w:b w:val="0"/>
          <w:bCs w:val="0"/>
          <w:spacing w:val="-4"/>
          <w:sz w:val="32"/>
          <w:szCs w:val="32"/>
        </w:rPr>
        <w:t>2023年县配城乡义务教育保障经费项目</w:t>
      </w:r>
    </w:p>
    <w:p w14:paraId="35D82A8A">
      <w:pPr>
        <w:spacing w:line="540" w:lineRule="exact"/>
        <w:ind w:firstLine="567"/>
        <w:rPr>
          <w:rFonts w:hint="eastAsia" w:ascii="仿宋" w:hAnsi="仿宋" w:eastAsia="仿宋" w:cs="仿宋"/>
          <w:b w:val="0"/>
          <w:bCs w:val="0"/>
          <w:spacing w:val="-4"/>
          <w:sz w:val="32"/>
          <w:szCs w:val="32"/>
        </w:rPr>
      </w:pPr>
      <w:r>
        <w:rPr>
          <w:rFonts w:hint="eastAsia" w:ascii="仿宋" w:hAnsi="仿宋" w:eastAsia="仿宋" w:cs="仿宋"/>
          <w:b w:val="0"/>
          <w:bCs w:val="0"/>
          <w:kern w:val="0"/>
          <w:sz w:val="32"/>
          <w:szCs w:val="32"/>
        </w:rPr>
        <w:t xml:space="preserve">  </w:t>
      </w:r>
      <w:r>
        <w:rPr>
          <w:rFonts w:hint="eastAsia" w:ascii="仿宋" w:hAnsi="仿宋" w:eastAsia="仿宋" w:cs="仿宋"/>
          <w:b/>
          <w:bCs/>
          <w:kern w:val="0"/>
          <w:sz w:val="32"/>
          <w:szCs w:val="32"/>
        </w:rPr>
        <w:t>实施单位（公章）：</w:t>
      </w:r>
      <w:r>
        <w:rPr>
          <w:rStyle w:val="18"/>
          <w:rFonts w:hint="eastAsia" w:ascii="仿宋" w:hAnsi="仿宋" w:eastAsia="仿宋" w:cs="仿宋"/>
          <w:b w:val="0"/>
          <w:bCs w:val="0"/>
          <w:spacing w:val="-4"/>
          <w:sz w:val="32"/>
          <w:szCs w:val="32"/>
        </w:rPr>
        <w:t>沙湾市老沙湾镇中心学校</w:t>
      </w:r>
    </w:p>
    <w:p w14:paraId="602C3CD2">
      <w:pPr>
        <w:spacing w:line="540" w:lineRule="exact"/>
        <w:ind w:firstLine="803" w:firstLineChars="250"/>
        <w:rPr>
          <w:rFonts w:hint="eastAsia" w:ascii="仿宋" w:hAnsi="仿宋" w:eastAsia="仿宋" w:cs="仿宋"/>
          <w:b w:val="0"/>
          <w:bCs w:val="0"/>
          <w:spacing w:val="-4"/>
          <w:sz w:val="32"/>
          <w:szCs w:val="32"/>
        </w:rPr>
      </w:pPr>
      <w:r>
        <w:rPr>
          <w:rFonts w:hint="eastAsia" w:ascii="仿宋" w:hAnsi="仿宋" w:eastAsia="仿宋" w:cs="仿宋"/>
          <w:b/>
          <w:bCs/>
          <w:kern w:val="0"/>
          <w:sz w:val="32"/>
          <w:szCs w:val="32"/>
        </w:rPr>
        <w:t>主管部门（公章）：</w:t>
      </w:r>
      <w:r>
        <w:rPr>
          <w:rStyle w:val="18"/>
          <w:rFonts w:hint="eastAsia" w:ascii="仿宋" w:hAnsi="仿宋" w:eastAsia="仿宋" w:cs="仿宋"/>
          <w:b w:val="0"/>
          <w:bCs w:val="0"/>
          <w:spacing w:val="-4"/>
          <w:sz w:val="32"/>
          <w:szCs w:val="32"/>
        </w:rPr>
        <w:t>沙湾市老沙湾镇中心学校</w:t>
      </w:r>
    </w:p>
    <w:p w14:paraId="4452DEF4">
      <w:pPr>
        <w:spacing w:line="540" w:lineRule="exact"/>
        <w:ind w:firstLine="803" w:firstLineChars="250"/>
        <w:rPr>
          <w:rFonts w:hint="eastAsia" w:ascii="仿宋" w:hAnsi="仿宋" w:eastAsia="仿宋" w:cs="仿宋"/>
          <w:b w:val="0"/>
          <w:bCs w:val="0"/>
          <w:spacing w:val="-4"/>
          <w:sz w:val="32"/>
          <w:szCs w:val="32"/>
        </w:rPr>
      </w:pPr>
      <w:r>
        <w:rPr>
          <w:rFonts w:hint="eastAsia" w:ascii="仿宋" w:hAnsi="仿宋" w:eastAsia="仿宋" w:cs="仿宋"/>
          <w:b/>
          <w:bCs/>
          <w:kern w:val="0"/>
          <w:sz w:val="32"/>
          <w:szCs w:val="32"/>
        </w:rPr>
        <w:t>项目负责人（签章）</w:t>
      </w:r>
      <w:r>
        <w:rPr>
          <w:rFonts w:hint="eastAsia" w:ascii="仿宋" w:hAnsi="仿宋" w:eastAsia="仿宋" w:cs="仿宋"/>
          <w:b w:val="0"/>
          <w:bCs w:val="0"/>
          <w:kern w:val="0"/>
          <w:sz w:val="32"/>
          <w:szCs w:val="32"/>
        </w:rPr>
        <w:t>：</w:t>
      </w:r>
      <w:r>
        <w:rPr>
          <w:rStyle w:val="18"/>
          <w:rFonts w:hint="eastAsia" w:ascii="仿宋" w:hAnsi="仿宋" w:eastAsia="仿宋" w:cs="仿宋"/>
          <w:b w:val="0"/>
          <w:bCs w:val="0"/>
          <w:spacing w:val="-4"/>
          <w:sz w:val="32"/>
          <w:szCs w:val="32"/>
        </w:rPr>
        <w:t>李军文</w:t>
      </w:r>
    </w:p>
    <w:p w14:paraId="538D1BE6">
      <w:pPr>
        <w:spacing w:line="540" w:lineRule="exact"/>
        <w:ind w:left="273" w:firstLine="567"/>
        <w:rPr>
          <w:rStyle w:val="18"/>
          <w:rFonts w:hint="eastAsia" w:ascii="仿宋" w:hAnsi="仿宋" w:eastAsia="仿宋" w:cs="仿宋"/>
          <w:b w:val="0"/>
          <w:bCs w:val="0"/>
          <w:spacing w:val="-4"/>
          <w:sz w:val="32"/>
          <w:szCs w:val="32"/>
        </w:rPr>
      </w:pPr>
      <w:r>
        <w:rPr>
          <w:rFonts w:hint="eastAsia" w:ascii="仿宋" w:hAnsi="仿宋" w:eastAsia="仿宋" w:cs="仿宋"/>
          <w:b/>
          <w:bCs/>
          <w:kern w:val="0"/>
          <w:sz w:val="32"/>
          <w:szCs w:val="32"/>
        </w:rPr>
        <w:t>填报时间：</w:t>
      </w:r>
      <w:r>
        <w:rPr>
          <w:rStyle w:val="18"/>
          <w:rFonts w:hint="eastAsia" w:ascii="仿宋" w:hAnsi="仿宋" w:eastAsia="仿宋" w:cs="仿宋"/>
          <w:b w:val="0"/>
          <w:bCs w:val="0"/>
          <w:spacing w:val="-4"/>
          <w:sz w:val="32"/>
          <w:szCs w:val="32"/>
        </w:rPr>
        <w:t>2024年05月09日</w:t>
      </w:r>
    </w:p>
    <w:p w14:paraId="68A2D3DD">
      <w:pPr>
        <w:spacing w:line="700" w:lineRule="exact"/>
        <w:ind w:firstLine="708" w:firstLineChars="236"/>
        <w:jc w:val="left"/>
        <w:rPr>
          <w:rFonts w:hAnsi="宋体" w:eastAsia="仿宋_GB2312" w:cs="宋体"/>
          <w:kern w:val="0"/>
          <w:sz w:val="30"/>
          <w:szCs w:val="30"/>
        </w:rPr>
      </w:pPr>
    </w:p>
    <w:p w14:paraId="7A2F8F9E">
      <w:pPr>
        <w:spacing w:line="540" w:lineRule="exact"/>
        <w:rPr>
          <w:rStyle w:val="18"/>
          <w:rFonts w:ascii="黑体" w:hAnsi="黑体" w:eastAsia="黑体"/>
          <w:b w:val="0"/>
          <w:spacing w:val="-4"/>
          <w:sz w:val="32"/>
          <w:szCs w:val="32"/>
        </w:rPr>
      </w:pPr>
    </w:p>
    <w:p w14:paraId="1CB149DE">
      <w:pPr>
        <w:spacing w:line="540" w:lineRule="exact"/>
        <w:ind w:firstLine="640"/>
        <w:rPr>
          <w:rStyle w:val="18"/>
          <w:rFonts w:hint="eastAsia" w:ascii="黑体" w:hAnsi="黑体" w:eastAsia="黑体"/>
          <w:b w:val="0"/>
          <w:spacing w:val="-4"/>
          <w:sz w:val="32"/>
          <w:szCs w:val="32"/>
        </w:rPr>
      </w:pPr>
    </w:p>
    <w:p w14:paraId="64FD76E3">
      <w:pPr>
        <w:keepNext w:val="0"/>
        <w:keepLines w:val="0"/>
        <w:pageBreakBefore w:val="0"/>
        <w:widowControl w:val="0"/>
        <w:kinsoku/>
        <w:wordWrap/>
        <w:overflowPunct/>
        <w:topLinePunct w:val="0"/>
        <w:autoSpaceDE/>
        <w:autoSpaceDN/>
        <w:bidi w:val="0"/>
        <w:adjustRightInd/>
        <w:snapToGrid/>
        <w:spacing w:line="520" w:lineRule="atLeast"/>
        <w:ind w:firstLine="643" w:firstLineChars="200"/>
        <w:jc w:val="left"/>
        <w:textAlignment w:val="auto"/>
        <w:outlineLvl w:val="1"/>
        <w:rPr>
          <w:rFonts w:hint="eastAsia" w:ascii="楷体" w:hAnsi="楷体" w:eastAsia="楷体" w:cs="楷体"/>
          <w:b/>
          <w:bCs w:val="0"/>
          <w:color w:val="auto"/>
          <w:kern w:val="0"/>
          <w:sz w:val="32"/>
          <w:szCs w:val="32"/>
          <w:highlight w:val="none"/>
        </w:rPr>
      </w:pPr>
      <w:r>
        <w:rPr>
          <w:rFonts w:hint="eastAsia" w:ascii="黑体" w:hAnsi="黑体" w:eastAsia="黑体" w:cs="宋体"/>
          <w:b/>
          <w:bCs w:val="0"/>
          <w:color w:val="auto"/>
          <w:kern w:val="0"/>
          <w:sz w:val="32"/>
          <w:szCs w:val="32"/>
          <w:highlight w:val="none"/>
        </w:rPr>
        <w:t>一、项目概况</w:t>
      </w:r>
    </w:p>
    <w:p w14:paraId="6FA96EE7">
      <w:pPr>
        <w:keepNext w:val="0"/>
        <w:keepLines w:val="0"/>
        <w:pageBreakBefore w:val="0"/>
        <w:widowControl w:val="0"/>
        <w:kinsoku/>
        <w:wordWrap/>
        <w:overflowPunct/>
        <w:topLinePunct w:val="0"/>
        <w:autoSpaceDE/>
        <w:autoSpaceDN/>
        <w:bidi w:val="0"/>
        <w:adjustRightInd/>
        <w:snapToGrid/>
        <w:spacing w:line="520" w:lineRule="atLeas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（一）项目单位基本情况</w:t>
      </w:r>
    </w:p>
    <w:p w14:paraId="73E1CD46">
      <w:pPr>
        <w:keepNext w:val="0"/>
        <w:keepLines w:val="0"/>
        <w:pageBreakBefore w:val="0"/>
        <w:widowControl w:val="0"/>
        <w:kinsoku/>
        <w:wordWrap/>
        <w:overflowPunct/>
        <w:topLinePunct w:val="0"/>
        <w:autoSpaceDE/>
        <w:autoSpaceDN/>
        <w:bidi w:val="0"/>
        <w:adjustRightInd/>
        <w:snapToGrid/>
        <w:spacing w:line="520" w:lineRule="atLeast"/>
        <w:ind w:firstLine="643" w:firstLineChars="200"/>
        <w:jc w:val="left"/>
        <w:textAlignment w:val="auto"/>
        <w:rPr>
          <w:rFonts w:hint="eastAsia" w:ascii="仿宋_GB2312" w:eastAsia="仿宋_GB2312" w:cs="Times New Roman"/>
          <w:b/>
          <w:bCs/>
          <w:color w:val="auto"/>
          <w:sz w:val="32"/>
          <w:szCs w:val="32"/>
          <w:highlight w:val="none"/>
          <w:lang w:val="en-US" w:eastAsia="zh-CN"/>
        </w:rPr>
      </w:pPr>
      <w:r>
        <w:rPr>
          <w:rFonts w:hint="eastAsia" w:ascii="仿宋_GB2312" w:eastAsia="仿宋_GB2312" w:cs="Times New Roman"/>
          <w:b/>
          <w:bCs/>
          <w:color w:val="auto"/>
          <w:sz w:val="32"/>
          <w:szCs w:val="32"/>
          <w:highlight w:val="none"/>
          <w:lang w:val="en-US" w:eastAsia="zh-CN"/>
        </w:rPr>
        <w:t>1.项目背景</w:t>
      </w:r>
    </w:p>
    <w:p w14:paraId="797E4216">
      <w:pPr>
        <w:keepNext w:val="0"/>
        <w:keepLines w:val="0"/>
        <w:pageBreakBefore w:val="0"/>
        <w:widowControl w:val="0"/>
        <w:kinsoku/>
        <w:wordWrap/>
        <w:overflowPunct/>
        <w:topLinePunct w:val="0"/>
        <w:autoSpaceDE/>
        <w:autoSpaceDN/>
        <w:bidi w:val="0"/>
        <w:adjustRightInd/>
        <w:snapToGrid/>
        <w:spacing w:line="520" w:lineRule="atLeast"/>
        <w:ind w:firstLine="624" w:firstLineChars="200"/>
        <w:jc w:val="left"/>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国家为支持城乡义务教育发展而设立的专项资金，用于支付学校日常运行所需的水费、电费、取暖费、培训费、邮电费、办公费等公用经费开支。城乡义务教育补助经费教育资金（公用经费）是支持城乡义务教育发展的重要举措，需要各级政府和教育部门加强监管和优化资源配置，同时加强信息化建设和社会宣传，确保资金使用效益的最大化。</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保障义务教育学校正常运转：公用经费是学校日常运转的重要资金来源，可以保障学校的基本运行，包括教学设备维护、水电费支出、信息化设备更新等。通过公用经费的投入，可以改善学校的教学环境，提高教育教学质量，促进教育公平。城乡义务教育补助经费教育资金有助于缩小城乡差距，促进资源的均衡配置，推动事业的均衡发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2023年，沙湾市老沙湾镇中心学校根据《关于提前下达2023年城乡义务教育补助经费预算（中央直达资金）的通知（沙财教〔2023〕12号）、《关于下达2023年城乡义务教育补助经费预算（第二批）中央直达资金的通知》（沙财教〔2023〕25号）要求，积极开展了2023年城乡义务教育补助经费教育项目资金（公用经费）项目，以加强对公用经费使用的监管，确保资金用于学校日常运转和教育教学活动，防止资金挪用和浪费。科学合理分配资金，确保城乡学校都能够得到相应的支持，促进教育资源的均衡配置。加大对信息化设备的投入，提高学校信息化水平，提高教育教学效率和质量。加强对城乡义务教育补助经费</w:t>
      </w:r>
      <w:bookmarkStart w:id="0" w:name="_GoBack"/>
      <w:bookmarkEnd w:id="0"/>
      <w:r>
        <w:rPr>
          <w:rStyle w:val="18"/>
          <w:rFonts w:hint="eastAsia" w:ascii="仿宋" w:hAnsi="仿宋" w:eastAsia="仿宋" w:cs="仿宋"/>
          <w:b w:val="0"/>
          <w:bCs w:val="0"/>
          <w:spacing w:val="-4"/>
          <w:sz w:val="32"/>
          <w:szCs w:val="32"/>
        </w:rPr>
        <w:t>资金的宣传，提高学校和家长对资金的认知和使用意识，引导社会各界共同关注和支持教育事业发展。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bCs/>
          <w:spacing w:val="-4"/>
          <w:sz w:val="32"/>
          <w:szCs w:val="32"/>
        </w:rPr>
        <w:t>2.项目主要内容及实施情况</w:t>
      </w:r>
      <w:r>
        <w:rPr>
          <w:rStyle w:val="18"/>
          <w:rFonts w:hint="eastAsia" w:ascii="仿宋" w:hAnsi="仿宋" w:eastAsia="仿宋" w:cs="仿宋"/>
          <w:b/>
          <w:bCs/>
          <w:spacing w:val="-4"/>
          <w:sz w:val="32"/>
          <w:szCs w:val="32"/>
        </w:rPr>
        <w:br w:type="textWrapping"/>
      </w:r>
      <w:r>
        <w:rPr>
          <w:rStyle w:val="18"/>
          <w:rFonts w:hint="eastAsia" w:ascii="仿宋" w:hAnsi="仿宋" w:eastAsia="仿宋" w:cs="仿宋"/>
          <w:b/>
          <w:bCs/>
          <w:spacing w:val="-4"/>
          <w:sz w:val="32"/>
          <w:szCs w:val="32"/>
          <w:lang w:val="en-US" w:eastAsia="zh-CN"/>
        </w:rPr>
        <w:t xml:space="preserve">    </w:t>
      </w:r>
      <w:r>
        <w:rPr>
          <w:rStyle w:val="18"/>
          <w:rFonts w:hint="eastAsia" w:ascii="仿宋" w:hAnsi="仿宋" w:eastAsia="仿宋" w:cs="仿宋"/>
          <w:b w:val="0"/>
          <w:bCs w:val="0"/>
          <w:spacing w:val="-4"/>
          <w:sz w:val="32"/>
          <w:szCs w:val="32"/>
        </w:rPr>
        <w:t>本项目主要内容为：根据沙湾市《关于提前下达2023年城乡义务教育补助经费预算（中央直达资金）的通知（沙财教〔2023〕12号）、《关于下达2023年城乡义务教育补助经费预算（第二批）中央直达资金的通知》（沙财教〔2023〕25号）要求，本项目实施内容为：“（1）用于支付为保障正常教育教学产生的办公费用、维修费用、办公设备购置费用、培训费用等；（2）实施完成维持保障学校正常运转产生费用的支付，改善了学校的办学条件；（3）完成保障学校日常运转和教育教学活动的顺利开展；（4）通过项目实施，旨在增强经费保障力度，有效改善学校办学条件，提高学生及教师的幸福感。</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本项目于2023年1月开始实施，截</w:t>
      </w:r>
      <w:r>
        <w:rPr>
          <w:rStyle w:val="18"/>
          <w:rFonts w:hint="eastAsia" w:ascii="仿宋" w:hAnsi="仿宋" w:eastAsia="仿宋" w:cs="仿宋"/>
          <w:b w:val="0"/>
          <w:bCs w:val="0"/>
          <w:spacing w:val="-4"/>
          <w:sz w:val="32"/>
          <w:szCs w:val="32"/>
          <w:lang w:eastAsia="zh-CN"/>
        </w:rPr>
        <w:t>至</w:t>
      </w:r>
      <w:r>
        <w:rPr>
          <w:rStyle w:val="18"/>
          <w:rFonts w:hint="eastAsia" w:ascii="仿宋" w:hAnsi="仿宋" w:eastAsia="仿宋" w:cs="仿宋"/>
          <w:b w:val="0"/>
          <w:bCs w:val="0"/>
          <w:spacing w:val="-4"/>
          <w:sz w:val="32"/>
          <w:szCs w:val="32"/>
        </w:rPr>
        <w:t>2023年12月，该项目已实施完成，各项任务指标全部完成。通过本项目的实施有效解决了保障学校运转产生费用，对水费、电费、电话费、办公费、培训费等进行及时支付，确保资金用于学校日常运转和教育教学活动，提升了办学条件，增强了师生幸福感。</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bCs/>
          <w:spacing w:val="-4"/>
          <w:sz w:val="32"/>
          <w:szCs w:val="32"/>
        </w:rPr>
        <w:t>3.项目实施主体</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2023年城乡义务教育补助经费教育项目资金（公用经费）项目的实施主体为沙湾市老沙湾镇中心学校。</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bCs/>
          <w:spacing w:val="-4"/>
          <w:sz w:val="32"/>
          <w:szCs w:val="32"/>
        </w:rPr>
        <w:t>4. 资金投入和使用情况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1）项目资金安排落实、总投入情况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根据沙湾市财政局《关于提前下达2023年城乡义务教育补助经费预算（中央直达资金）的通知（沙财教〔2023〕12号）、《关于下达2023年城乡义务教育补助经费预算（第二批）中央直达资金的通知》（沙财教〔2023〕25号）2023年城乡义务教育补助经费教育项目资金（公用经费）项目预算安排资金总额55.89万元，其中财政资金55.89万元、其他资金0万元；2023年实际收到预算资金55.89万元，预算资金到位率为100.0%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（2）项目资金实际使用情况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截至2023年12月31日，本项目实际支付资金55.89万元，预算执行率100%。项目资金主要用于支付学前办公费用21.56万元、伙食补助费用7.30万元、办公设备购置费用7.87万元、义务教育暖气费用12.16万元、维修费7万元、</w:t>
      </w:r>
    </w:p>
    <w:p w14:paraId="44045761">
      <w:pPr>
        <w:keepNext w:val="0"/>
        <w:keepLines w:val="0"/>
        <w:pageBreakBefore w:val="0"/>
        <w:widowControl w:val="0"/>
        <w:kinsoku/>
        <w:wordWrap/>
        <w:overflowPunct/>
        <w:topLinePunct w:val="0"/>
        <w:autoSpaceDE/>
        <w:autoSpaceDN/>
        <w:bidi w:val="0"/>
        <w:adjustRightInd/>
        <w:snapToGrid/>
        <w:spacing w:line="520" w:lineRule="atLeast"/>
        <w:ind w:firstLine="1253" w:firstLineChars="400"/>
        <w:jc w:val="left"/>
        <w:textAlignment w:val="auto"/>
        <w:rPr>
          <w:rStyle w:val="18"/>
          <w:rFonts w:hint="eastAsia" w:ascii="仿宋" w:hAnsi="仿宋" w:eastAsia="仿宋" w:cs="仿宋"/>
          <w:b/>
          <w:bCs/>
          <w:spacing w:val="-4"/>
          <w:sz w:val="32"/>
          <w:szCs w:val="32"/>
        </w:rPr>
      </w:pPr>
      <w:r>
        <w:rPr>
          <w:rStyle w:val="18"/>
          <w:rFonts w:hint="eastAsia" w:ascii="仿宋" w:hAnsi="仿宋" w:eastAsia="仿宋" w:cs="仿宋"/>
          <w:b/>
          <w:bCs/>
          <w:spacing w:val="-4"/>
          <w:sz w:val="32"/>
          <w:szCs w:val="32"/>
        </w:rPr>
        <w:t>（二）项目预算绩效目标设定情况</w:t>
      </w:r>
    </w:p>
    <w:p w14:paraId="23B398E4">
      <w:pPr>
        <w:keepNext w:val="0"/>
        <w:keepLines w:val="0"/>
        <w:pageBreakBefore w:val="0"/>
        <w:widowControl w:val="0"/>
        <w:kinsoku/>
        <w:wordWrap/>
        <w:overflowPunct/>
        <w:topLinePunct w:val="0"/>
        <w:autoSpaceDE/>
        <w:autoSpaceDN/>
        <w:bidi w:val="0"/>
        <w:adjustRightInd/>
        <w:snapToGrid/>
        <w:spacing w:line="520" w:lineRule="atLeast"/>
        <w:ind w:firstLine="3432" w:firstLineChars="1100"/>
        <w:jc w:val="left"/>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1.总体目标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2023年城乡义务教育补助经费教育项目资金（公用经费）的设立，是以解决保障学校日常运转和教育教学活动的顺利开展，提升办学条件，增强了师生幸福感。全年项目计划实现目标如下：“目标1：保障在籍学生经费的正常使用，提高学校的教学设施和设备水平，改善学生的学习环境，提高教学质量。目标2：保障学校基本的教学需要，包括图书、教学仪器、实验设备等，为学生提供更好的学习条件。目标3：优化教师队伍，增加教师外出学习和培训机会，提高教师队伍的业务水平和整体素质。计划通过本项目的实施，为学校提供更好的教学设施和设备，为学生提供良好的学生生活环境；加大教师外出培训和学习力度，提高教师队伍素质水平，提高教学质量和办学实力，为义务教育学校的发展和社会进步做出积极贡献。</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（1）项目产出指标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幼儿园公用经费补助学生人数”指标，预期指标值为“大于等于17人”；</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“幼儿园伙食补助受益人数”指标，预期指标值为“大于等于17人”；</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“维修项目数”指标，预期指标值为“大于等于2个”</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“购置监控数量” 指标，预期指标值为“等于1批”</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“小学取暖费面积”指标，预期指标值为“大于等于7002平方米”</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“资金支付规范率”指标，预期指标值为“等于100%”。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“项目完成时限”指标，预期指标值为“2023年12月25日前”；</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（2）项目成本指标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①</w:t>
      </w:r>
      <w:r>
        <w:rPr>
          <w:rStyle w:val="18"/>
          <w:rFonts w:hint="eastAsia" w:ascii="仿宋" w:hAnsi="仿宋" w:eastAsia="仿宋" w:cs="仿宋"/>
          <w:b w:val="0"/>
          <w:bCs w:val="0"/>
          <w:spacing w:val="-4"/>
          <w:sz w:val="32"/>
          <w:szCs w:val="32"/>
          <w:lang w:eastAsia="zh-CN"/>
        </w:rPr>
        <w:t>经</w:t>
      </w:r>
      <w:r>
        <w:rPr>
          <w:rStyle w:val="18"/>
          <w:rFonts w:hint="eastAsia" w:ascii="仿宋" w:hAnsi="仿宋" w:eastAsia="仿宋" w:cs="仿宋"/>
          <w:b w:val="0"/>
          <w:bCs w:val="0"/>
          <w:spacing w:val="-4"/>
          <w:sz w:val="32"/>
          <w:szCs w:val="32"/>
        </w:rPr>
        <w:t>济成本指标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“幼儿园公用经费金额”指标，预期指标值为“小于等于21.56万元；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“幼儿园伙食补助金额”指标，预期指标值为“小于等于7.30万元；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“设备采购金额” 指标，预期指标值为“小于等于7.87万元；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“维修金额” 指标，预期指标值为“小于等于7.00万元；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“小学取暖费金额” 指标，预期指标值为“小于等于12.16万元。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（3）项目效益指标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①经济效益指标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无此项指标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②</w:t>
      </w:r>
      <w:r>
        <w:rPr>
          <w:rStyle w:val="18"/>
          <w:rFonts w:hint="eastAsia" w:ascii="仿宋" w:hAnsi="仿宋" w:eastAsia="仿宋" w:cs="仿宋"/>
          <w:b w:val="0"/>
          <w:bCs w:val="0"/>
          <w:spacing w:val="-4"/>
          <w:sz w:val="32"/>
          <w:szCs w:val="32"/>
          <w:lang w:eastAsia="zh-CN"/>
        </w:rPr>
        <w:t>社</w:t>
      </w:r>
      <w:r>
        <w:rPr>
          <w:rStyle w:val="18"/>
          <w:rFonts w:hint="eastAsia" w:ascii="仿宋" w:hAnsi="仿宋" w:eastAsia="仿宋" w:cs="仿宋"/>
          <w:b w:val="0"/>
          <w:bCs w:val="0"/>
          <w:spacing w:val="-4"/>
          <w:sz w:val="32"/>
          <w:szCs w:val="32"/>
        </w:rPr>
        <w:t>会效益指标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“减轻学生家庭经济负担”指标，预期指标值为“有效减轻”；</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“提高学生体质健康”指标，预期指标值为“不断提高”。</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③生态效益指标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无此项指标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（4）相关满意度目标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“学生满意度”指标，预期指标值为“大于等于95%”；</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“教师满意度”指标，预期指标值为“大于等于95%”。</w:t>
      </w:r>
    </w:p>
    <w:p w14:paraId="4596F0EE">
      <w:pPr>
        <w:keepNext w:val="0"/>
        <w:keepLines w:val="0"/>
        <w:pageBreakBefore w:val="0"/>
        <w:widowControl w:val="0"/>
        <w:kinsoku/>
        <w:wordWrap/>
        <w:overflowPunct/>
        <w:topLinePunct w:val="0"/>
        <w:autoSpaceDE/>
        <w:autoSpaceDN/>
        <w:bidi w:val="0"/>
        <w:adjustRightInd/>
        <w:snapToGrid/>
        <w:spacing w:line="520" w:lineRule="atLeast"/>
        <w:ind w:firstLine="624" w:firstLineChars="200"/>
        <w:jc w:val="left"/>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二、项目资金使用及管理情况</w:t>
      </w:r>
    </w:p>
    <w:p w14:paraId="1A100CBD">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rPr>
      </w:pPr>
      <w:r>
        <w:rPr>
          <w:rFonts w:hint="eastAsia" w:ascii="黑体" w:hAnsi="黑体" w:eastAsia="黑体" w:cs="宋体"/>
          <w:b/>
          <w:bCs w:val="0"/>
          <w:color w:val="auto"/>
          <w:kern w:val="0"/>
          <w:sz w:val="32"/>
          <w:szCs w:val="32"/>
          <w:highlight w:val="none"/>
        </w:rPr>
        <w:t>二、项目资金使用及管理情况</w:t>
      </w:r>
    </w:p>
    <w:p w14:paraId="00AB2BF2">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（一）项目资金安排落实、总投入等情况分析</w:t>
      </w:r>
    </w:p>
    <w:p w14:paraId="64D9577E">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cs="Times New Roman"/>
          <w:b/>
          <w:bCs/>
          <w:color w:val="auto"/>
          <w:sz w:val="32"/>
          <w:szCs w:val="32"/>
          <w:highlight w:val="none"/>
          <w:lang w:val="en-US" w:eastAsia="zh-CN"/>
        </w:rPr>
      </w:pPr>
      <w:r>
        <w:rPr>
          <w:rFonts w:hint="eastAsia" w:ascii="仿宋_GB2312" w:eastAsia="仿宋_GB2312" w:cs="Times New Roman"/>
          <w:b/>
          <w:bCs/>
          <w:color w:val="auto"/>
          <w:sz w:val="32"/>
          <w:szCs w:val="32"/>
          <w:highlight w:val="none"/>
          <w:lang w:val="en-US" w:eastAsia="zh-CN"/>
        </w:rPr>
        <w:t>1.绩效评价的目的</w:t>
      </w:r>
    </w:p>
    <w:p w14:paraId="32D88340">
      <w:pPr>
        <w:keepNext w:val="0"/>
        <w:keepLines w:val="0"/>
        <w:pageBreakBefore w:val="0"/>
        <w:widowControl w:val="0"/>
        <w:kinsoku/>
        <w:wordWrap/>
        <w:overflowPunct/>
        <w:topLinePunct w:val="0"/>
        <w:autoSpaceDE/>
        <w:autoSpaceDN/>
        <w:bidi w:val="0"/>
        <w:adjustRightInd/>
        <w:snapToGrid/>
        <w:spacing w:line="520" w:lineRule="atLeast"/>
        <w:ind w:firstLine="624" w:firstLineChars="200"/>
        <w:jc w:val="left"/>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bCs/>
          <w:spacing w:val="-4"/>
          <w:sz w:val="32"/>
          <w:szCs w:val="32"/>
        </w:rPr>
        <w:t>2.绩效评价的对象和范围</w:t>
      </w:r>
      <w:r>
        <w:rPr>
          <w:rStyle w:val="18"/>
          <w:rFonts w:hint="eastAsia" w:ascii="仿宋" w:hAnsi="仿宋" w:eastAsia="仿宋" w:cs="仿宋"/>
          <w:b/>
          <w:bCs/>
          <w:spacing w:val="-4"/>
          <w:sz w:val="32"/>
          <w:szCs w:val="32"/>
        </w:rPr>
        <w:br w:type="textWrapping"/>
      </w:r>
      <w:r>
        <w:rPr>
          <w:rStyle w:val="18"/>
          <w:rFonts w:hint="eastAsia" w:ascii="仿宋" w:hAnsi="仿宋" w:eastAsia="仿宋" w:cs="仿宋"/>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城乡义务教育补助经费教育项目资金（公用经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04647651">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（二）项目资金实际使用情况分析</w:t>
      </w:r>
    </w:p>
    <w:p w14:paraId="7F014F48">
      <w:pPr>
        <w:keepNext w:val="0"/>
        <w:keepLines w:val="0"/>
        <w:pageBreakBefore w:val="0"/>
        <w:widowControl w:val="0"/>
        <w:kinsoku/>
        <w:wordWrap/>
        <w:overflowPunct/>
        <w:topLinePunct w:val="0"/>
        <w:autoSpaceDE/>
        <w:autoSpaceDN/>
        <w:bidi w:val="0"/>
        <w:adjustRightInd/>
        <w:snapToGrid/>
        <w:spacing w:line="520" w:lineRule="atLeast"/>
        <w:ind w:firstLine="643" w:firstLineChars="200"/>
        <w:jc w:val="left"/>
        <w:textAlignment w:val="auto"/>
        <w:rPr>
          <w:rFonts w:hint="eastAsia" w:ascii="仿宋_GB2312" w:eastAsia="仿宋_GB2312" w:cs="Times New Roman"/>
          <w:b/>
          <w:bCs/>
          <w:color w:val="auto"/>
          <w:sz w:val="32"/>
          <w:szCs w:val="32"/>
          <w:highlight w:val="none"/>
          <w:lang w:val="en-US" w:eastAsia="zh-CN"/>
        </w:rPr>
      </w:pPr>
      <w:r>
        <w:rPr>
          <w:rFonts w:hint="eastAsia" w:ascii="仿宋_GB2312" w:eastAsia="仿宋_GB2312" w:cs="Times New Roman"/>
          <w:b/>
          <w:bCs/>
          <w:color w:val="auto"/>
          <w:sz w:val="32"/>
          <w:szCs w:val="32"/>
          <w:highlight w:val="none"/>
          <w:lang w:val="en-US" w:eastAsia="zh-CN"/>
        </w:rPr>
        <w:t>1.绩效评价原则</w:t>
      </w:r>
    </w:p>
    <w:p w14:paraId="7AB1B96D">
      <w:pPr>
        <w:keepNext w:val="0"/>
        <w:keepLines w:val="0"/>
        <w:pageBreakBefore w:val="0"/>
        <w:widowControl w:val="0"/>
        <w:kinsoku/>
        <w:wordWrap/>
        <w:overflowPunct/>
        <w:topLinePunct w:val="0"/>
        <w:autoSpaceDE/>
        <w:autoSpaceDN/>
        <w:bidi w:val="0"/>
        <w:adjustRightInd/>
        <w:snapToGrid/>
        <w:spacing w:line="520" w:lineRule="atLeast"/>
        <w:ind w:left="319" w:leftChars="152" w:firstLine="312" w:firstLineChars="100"/>
        <w:jc w:val="left"/>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城乡义务教育补助经费教育项目资金（公用经费）项目实际开展情况，运用定量和定性分析相结合的方法，总结经验做法，反思项目实施和管理中的问题，以切实提升财政资金管理的科学化、规范化和精细化水平。</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根据以上原则，绩效评价遵循如下具体要求：</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（1）在数据采集时，采取客观数据主管部门审查、社会中介组织复查与问卷调查相结合的形式，以保证各项指标的真实性。</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（2）保证评价结果的真实性、公正性，提高评价报告的公信力。</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（3）绩效评价报告简明扼要，除对绩效评价的过程、结果描述外，还总结经验、指出问题，并就共性问题提出可操作性改进建议。</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bCs/>
          <w:spacing w:val="-4"/>
          <w:sz w:val="32"/>
          <w:szCs w:val="32"/>
        </w:rPr>
        <w:t>2.绩效评价指标体系及绩效评价标准</w:t>
      </w:r>
      <w:r>
        <w:rPr>
          <w:rStyle w:val="18"/>
          <w:rFonts w:hint="eastAsia" w:ascii="仿宋" w:hAnsi="仿宋" w:eastAsia="仿宋" w:cs="仿宋"/>
          <w:b/>
          <w:bCs/>
          <w:spacing w:val="-4"/>
          <w:sz w:val="32"/>
          <w:szCs w:val="32"/>
        </w:rPr>
        <w:br w:type="textWrapping"/>
      </w:r>
      <w:r>
        <w:rPr>
          <w:rStyle w:val="18"/>
          <w:rFonts w:hint="eastAsia" w:ascii="仿宋" w:hAnsi="仿宋" w:eastAsia="仿宋" w:cs="仿宋"/>
          <w:b/>
          <w:bCs/>
          <w:spacing w:val="-4"/>
          <w:sz w:val="32"/>
          <w:szCs w:val="32"/>
          <w:lang w:val="en-US" w:eastAsia="zh-CN"/>
        </w:rPr>
        <w:t xml:space="preserve">    </w:t>
      </w:r>
      <w:r>
        <w:rPr>
          <w:rStyle w:val="18"/>
          <w:rFonts w:hint="eastAsia" w:ascii="仿宋" w:hAnsi="仿宋" w:eastAsia="仿宋" w:cs="仿宋"/>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一级指标为：决策、过程、产出、成本、效益。</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二级指标为：项目立项、绩效目标、资金投入、资金管理、组织实施、产出数量、产出质量、产出时效、经济成本、项目效益、满意度。</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bCs/>
          <w:spacing w:val="-4"/>
          <w:sz w:val="32"/>
          <w:szCs w:val="32"/>
        </w:rPr>
        <w:t>3.评价方法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bCs/>
          <w:spacing w:val="-4"/>
          <w:sz w:val="32"/>
          <w:szCs w:val="32"/>
        </w:rPr>
        <w:t>4.评价标准</w:t>
      </w:r>
      <w:r>
        <w:rPr>
          <w:rStyle w:val="18"/>
          <w:rFonts w:hint="eastAsia" w:ascii="仿宋" w:hAnsi="仿宋" w:eastAsia="仿宋" w:cs="仿宋"/>
          <w:b/>
          <w:bCs/>
          <w:spacing w:val="-4"/>
          <w:sz w:val="32"/>
          <w:szCs w:val="32"/>
        </w:rPr>
        <w:br w:type="textWrapping"/>
      </w:r>
      <w:r>
        <w:rPr>
          <w:rStyle w:val="18"/>
          <w:rFonts w:hint="eastAsia" w:ascii="仿宋" w:hAnsi="仿宋" w:eastAsia="仿宋" w:cs="仿宋"/>
          <w:b/>
          <w:bCs/>
          <w:spacing w:val="-4"/>
          <w:sz w:val="32"/>
          <w:szCs w:val="32"/>
          <w:lang w:val="en-US" w:eastAsia="zh-CN"/>
        </w:rPr>
        <w:t xml:space="preserve">    </w:t>
      </w:r>
      <w:r>
        <w:rPr>
          <w:rStyle w:val="18"/>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39E605AB">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 w:hAnsi="仿宋" w:eastAsia="仿宋" w:cs="仿宋"/>
          <w:b w:val="0"/>
          <w:bCs w:val="0"/>
          <w:spacing w:val="-4"/>
          <w:sz w:val="32"/>
          <w:szCs w:val="32"/>
        </w:rPr>
      </w:pPr>
    </w:p>
    <w:p w14:paraId="194E9278">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（三）项目资金管理情况分析</w:t>
      </w:r>
    </w:p>
    <w:p w14:paraId="76B31B82">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第一阶段：前期准备。</w:t>
      </w:r>
    </w:p>
    <w:p w14:paraId="571E8214">
      <w:pPr>
        <w:keepNext w:val="0"/>
        <w:keepLines w:val="0"/>
        <w:pageBreakBefore w:val="0"/>
        <w:widowControl w:val="0"/>
        <w:kinsoku/>
        <w:wordWrap/>
        <w:overflowPunct/>
        <w:topLinePunct w:val="0"/>
        <w:autoSpaceDE/>
        <w:autoSpaceDN/>
        <w:bidi w:val="0"/>
        <w:adjustRightInd/>
        <w:snapToGrid/>
        <w:spacing w:line="520" w:lineRule="atLeast"/>
        <w:ind w:left="319" w:leftChars="152" w:firstLine="936" w:firstLineChars="300"/>
        <w:jc w:val="left"/>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校长李军文任评价组组长，绩效评价工作职责为检查项目绩效指标完成情况、审定项目支出绩效评价结果及项目支出绩效评价报告。</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后勤主任香成山任评价组副组长，绩效评价工作职责为组织和协调项目工作人员采取实地调查、资料检查等方式，核实项目绩效指标完成情况；组织受益对象对项目工作进行评价等。</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报账员王志轩任评价组成员，绩效评价工作职责为做好项目支出绩效评价工作的沟通协调工作，对项目实施情况进行实地调查，编写项目支出绩效评价报告。</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bCs/>
          <w:spacing w:val="-4"/>
          <w:sz w:val="32"/>
          <w:szCs w:val="32"/>
        </w:rPr>
        <w:t>第二阶段：组织实施。</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bCs/>
          <w:spacing w:val="-4"/>
          <w:sz w:val="32"/>
          <w:szCs w:val="32"/>
        </w:rPr>
        <w:t>第三阶段：分析评价。</w:t>
      </w:r>
      <w:r>
        <w:rPr>
          <w:rStyle w:val="18"/>
          <w:rFonts w:hint="eastAsia" w:ascii="仿宋" w:hAnsi="仿宋" w:eastAsia="仿宋" w:cs="仿宋"/>
          <w:b/>
          <w:bCs/>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bCs/>
          <w:spacing w:val="-4"/>
          <w:sz w:val="32"/>
          <w:szCs w:val="32"/>
        </w:rPr>
        <w:t>第四阶段：撰写与提交评价报告</w:t>
      </w:r>
      <w:r>
        <w:rPr>
          <w:rStyle w:val="18"/>
          <w:rFonts w:hint="eastAsia" w:ascii="仿宋" w:hAnsi="仿宋" w:eastAsia="仿宋" w:cs="仿宋"/>
          <w:b/>
          <w:bCs/>
          <w:spacing w:val="-4"/>
          <w:sz w:val="32"/>
          <w:szCs w:val="32"/>
        </w:rPr>
        <w:br w:type="textWrapping"/>
      </w:r>
      <w:r>
        <w:rPr>
          <w:rStyle w:val="18"/>
          <w:rFonts w:hint="eastAsia" w:ascii="仿宋" w:hAnsi="仿宋" w:eastAsia="仿宋" w:cs="仿宋"/>
          <w:b/>
          <w:bCs/>
          <w:spacing w:val="-4"/>
          <w:sz w:val="32"/>
          <w:szCs w:val="32"/>
          <w:lang w:val="en-US" w:eastAsia="zh-CN"/>
        </w:rPr>
        <w:t xml:space="preserve">     </w:t>
      </w:r>
      <w:r>
        <w:rPr>
          <w:rStyle w:val="18"/>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bCs/>
          <w:spacing w:val="-4"/>
          <w:sz w:val="32"/>
          <w:szCs w:val="32"/>
        </w:rPr>
        <w:t>第五阶段：归集档案</w:t>
      </w:r>
      <w:r>
        <w:rPr>
          <w:rStyle w:val="18"/>
          <w:rFonts w:hint="eastAsia" w:ascii="仿宋" w:hAnsi="仿宋" w:eastAsia="仿宋" w:cs="仿宋"/>
          <w:b/>
          <w:bCs/>
          <w:spacing w:val="-4"/>
          <w:sz w:val="32"/>
          <w:szCs w:val="32"/>
        </w:rPr>
        <w:br w:type="textWrapping"/>
      </w:r>
      <w:r>
        <w:rPr>
          <w:rStyle w:val="18"/>
          <w:rFonts w:hint="eastAsia" w:ascii="仿宋" w:hAnsi="仿宋" w:eastAsia="仿宋" w:cs="仿宋"/>
          <w:b/>
          <w:bCs/>
          <w:spacing w:val="-4"/>
          <w:sz w:val="32"/>
          <w:szCs w:val="32"/>
          <w:lang w:val="en-US" w:eastAsia="zh-CN"/>
        </w:rPr>
        <w:t xml:space="preserve">    </w:t>
      </w:r>
      <w:r>
        <w:rPr>
          <w:rStyle w:val="18"/>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14:paraId="415993CF">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三、项目组织实施情况</w:t>
      </w:r>
    </w:p>
    <w:p w14:paraId="7AFE2ECB">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（一）项目组织情况分析</w:t>
      </w:r>
    </w:p>
    <w:p w14:paraId="3CC4096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t>（一）综合评价情况</w:t>
      </w:r>
    </w:p>
    <w:p w14:paraId="01438369">
      <w:pPr>
        <w:keepNext w:val="0"/>
        <w:keepLines w:val="0"/>
        <w:pageBreakBefore w:val="0"/>
        <w:widowControl w:val="0"/>
        <w:kinsoku/>
        <w:wordWrap/>
        <w:overflowPunct/>
        <w:topLinePunct w:val="0"/>
        <w:autoSpaceDE/>
        <w:autoSpaceDN/>
        <w:bidi w:val="0"/>
        <w:adjustRightInd/>
        <w:snapToGrid/>
        <w:spacing w:line="520" w:lineRule="atLeast"/>
        <w:ind w:firstLine="624" w:firstLineChars="200"/>
        <w:jc w:val="left"/>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通过2023年城乡义务教育市级配套补助经费教育项目资金（公用经费）项目的实施，解决了学校的基本运行，包括教学设备维护、水电费支出、信息化设备更新等。保障了教师外出培训，提供了能力提升的机会，对校园进行维修改善学校的教学环境，缩小了城乡教育差距问题，实现了学校的教学环境得到改善，提高了教育教学质量，促进教育公平，促进教育资源的均衡配置，推动教育事业的均衡发展的效益，该项目预算执行率达100%，项目预期绩效目标及各项具体指标均已全部达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次评价采取定量与定性评价相结合的方式，对2023年城乡义务教育补助经费教育项目资金（公用经费）项目的绩效目标和各项具体绩效指标实现情况进行了客观评价，最终评分为100.00分。绩效评级为“优”，具体得分情况为：项目决策15分、项目过程15分、项目产出40分、项目效益20分、项目满意度10分。</w:t>
      </w:r>
    </w:p>
    <w:p w14:paraId="1902935E">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rPr>
        <w:t>二）项目管理情况分析</w:t>
      </w:r>
    </w:p>
    <w:p w14:paraId="7D7FA30E">
      <w:pPr>
        <w:keepNext w:val="0"/>
        <w:keepLines w:val="0"/>
        <w:pageBreakBefore w:val="0"/>
        <w:widowControl w:val="0"/>
        <w:kinsoku/>
        <w:wordWrap/>
        <w:overflowPunct/>
        <w:topLinePunct w:val="0"/>
        <w:autoSpaceDE/>
        <w:autoSpaceDN/>
        <w:bidi w:val="0"/>
        <w:adjustRightInd/>
        <w:snapToGrid/>
        <w:spacing w:line="520" w:lineRule="atLeast"/>
        <w:ind w:left="319" w:leftChars="152" w:firstLine="2184" w:firstLineChars="700"/>
        <w:jc w:val="left"/>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项目决策类指标从项目立项、绩效目标和资金投入三个方面评价项目前期准备工作，权重分值为 15 分，本项目实际得分15分，得分率为100.0%。具体各项指标得分如下：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立项依据充分性：本项目是由沙湾市教育和科学技术局单位提出申报，于2023年01月批复设立，2023年我单位根据《关于提前下达2023年城乡义务教育补助经费预算（中央直达资金）的通知（沙财教〔2023〕12号）、《关于下达2023年城乡义务教育补助经费预算（第二批）中央直达资金的通知》（沙财教〔2023〕25号）文件要求组织实施该项目。项目立项符合国家法律法规、自治区和地区行业发展规划和政策要求，属于本部门履职所需。根据评分标准，该指标2.5分，得2.5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2.立项程序规范性：根据决策依据编制工作计划和经费预算，经过与部门市政府分管领导进行沟通、筛选确定经费预算计划，上党委会研究确定最终预算方案。根据评分标准，该指标2.5分，得2.5分。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预算编制经过科学论证，内容与项目内容匹配，项目投资额与工作任务相匹配，根据评分标准，该指标3分，得3分。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6.资金分配合理性：本项目资金分配依据充分，资金分配额度合理，与项目地方实际相适应。根据评分标准，该指标2分，得2分。</w:t>
      </w:r>
    </w:p>
    <w:p w14:paraId="7E7F401E">
      <w:pPr>
        <w:keepNext w:val="0"/>
        <w:keepLines w:val="0"/>
        <w:pageBreakBefore w:val="0"/>
        <w:widowControl w:val="0"/>
        <w:kinsoku/>
        <w:wordWrap/>
        <w:overflowPunct/>
        <w:topLinePunct w:val="0"/>
        <w:autoSpaceDE/>
        <w:autoSpaceDN/>
        <w:bidi w:val="0"/>
        <w:adjustRightInd/>
        <w:snapToGrid/>
        <w:spacing w:line="520" w:lineRule="exact"/>
        <w:ind w:firstLine="964" w:firstLineChars="3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 xml:space="preserve">四、项目绩效情况 </w:t>
      </w:r>
    </w:p>
    <w:p w14:paraId="54744FA7">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（一）项目绩效目标完成情况分析</w:t>
      </w:r>
    </w:p>
    <w:p w14:paraId="2F72ACC7">
      <w:pPr>
        <w:keepNext w:val="0"/>
        <w:keepLines w:val="0"/>
        <w:pageBreakBefore w:val="0"/>
        <w:widowControl w:val="0"/>
        <w:kinsoku/>
        <w:wordWrap/>
        <w:overflowPunct/>
        <w:topLinePunct w:val="0"/>
        <w:autoSpaceDE/>
        <w:autoSpaceDN/>
        <w:bidi w:val="0"/>
        <w:adjustRightInd/>
        <w:snapToGrid/>
        <w:spacing w:line="520" w:lineRule="atLeast"/>
        <w:ind w:firstLine="624" w:firstLineChars="200"/>
        <w:jc w:val="left"/>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5个三级指标构成，权重分值为 15 分，本项目实际得分15分，得分率为100.0%。具体各项指标得分如下：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2.预算执行率：本项目预算编制较为详细，预算资金55.89万元，实际执行55.89万元，预算执行率为100.0%，项目资金支出总体能够按照预算执行；根据评分标准，该指标2分，得2分。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3.资金使用合规性：项目任务下达后，我单位制定了《财务管理制度》制度和管理规定对经费使用进行规范管理，财务制度健全、执行严格；根据评分标准，该指标3分，得3分。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4.管理制度健全性：我单位制定了相关项目管理办法，同时对财政专项资金进行严格管理，基本做到了专款专用，根据评分标准，该指标4分，得4分。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14:paraId="5B45E0D0">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（二）项目绩效目标未完成原因分析</w:t>
      </w:r>
    </w:p>
    <w:p w14:paraId="2F9F2F5D">
      <w:pPr>
        <w:keepNext w:val="0"/>
        <w:keepLines w:val="0"/>
        <w:pageBreakBefore w:val="0"/>
        <w:widowControl w:val="0"/>
        <w:kinsoku/>
        <w:wordWrap/>
        <w:overflowPunct/>
        <w:topLinePunct w:val="0"/>
        <w:autoSpaceDE/>
        <w:autoSpaceDN/>
        <w:bidi w:val="0"/>
        <w:adjustRightInd/>
        <w:snapToGrid/>
        <w:spacing w:line="520" w:lineRule="atLeast"/>
        <w:ind w:firstLine="624" w:firstLineChars="200"/>
        <w:jc w:val="left"/>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项目产出类指标包括产出数量、产出质量、产出时效、产出成本共四方面的内容，由5个三级指标构成，权重分为40分，本项目实际得分40分，得分率为100%。具体各项指标得分如下：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1.产出数量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“幼儿园公用经费受益人数”指标，预期指标值为“大于等于17人”，根据在学籍学生花名册可知，实际完成补助学生人数17人，与预期目标一致，根据评分标准，该指标2分，得2分。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“幼儿园伙食补助受益人数”指标，预期指标值为“大于等于17人”，根据在学籍学生花名册可知，实际完成“幼儿园伙食补助受益人数”学生补助人数17人，与预期目标一致，根据评分标准，该指标2分，得2分。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“设备采购数量”指标，预期指标值为“大于等于1批”，根据支付材料可知，实际完成“1批”，与预期目标一致，根据评分标准，该指标2分，2分。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“维修项目数量”指标，预期指标值为“等于2个”，根据支付材料可知，实际完成“2个”，与预期目标一致，根据评分标准，该指标2分，得2分。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“小学取暖费面积”指标，预期指标值为“7002平方米”，根据学校取暖面积材料可知，实际完成“7002平方米”，与预期目标一致，根据评分标准，该指标2分，得2分。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2.产出质量</w:t>
      </w:r>
    </w:p>
    <w:p w14:paraId="5ECC59B5">
      <w:pPr>
        <w:keepNext w:val="0"/>
        <w:keepLines w:val="0"/>
        <w:pageBreakBefore w:val="0"/>
        <w:widowControl w:val="0"/>
        <w:kinsoku/>
        <w:wordWrap/>
        <w:overflowPunct/>
        <w:topLinePunct w:val="0"/>
        <w:autoSpaceDE/>
        <w:autoSpaceDN/>
        <w:bidi w:val="0"/>
        <w:adjustRightInd/>
        <w:snapToGrid/>
        <w:spacing w:line="520" w:lineRule="atLeast"/>
        <w:ind w:firstLine="624" w:firstLineChars="200"/>
        <w:jc w:val="left"/>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资金支付规范率”指标，预期指标值为“等于100%”，根据资金拨付情况及银行支付回单，拨付资金全部用于保障学校正常教育教学工作，资金支付规范率达100%，与预期目标一致，根据评分标准，该指标10分，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3.产出时效</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项目完成时限”指标，预期指标值为“2023年12月25日前”；根据资金支付凭证显示，该项目于2023年12月20日前完成采购验收，按合同约定，资金已于2023年12月全部支付完毕，与预期目标指标一致，根据评分标准，该指标10分，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4.产出成本</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经济成本“幼儿园公用经费金额”指标，预期指标值为“小于等于21.56万元”，根据上级拨付资金文件显示，本项目2023年共计支付2023年城乡义务教育补助经费教育项目资金（公用经费）21.56万元，经费支出能够控制在年度计划成本范围内，根据评分标准，该指标2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经济成本“幼儿园伙食补助金额”指标，预期指标值为“小于等于7.30万元”，根据上级拨付资金文件显示，本项目2023年共计支付2023年城乡义务教育补助经费教育项目资金（公用经费）7.30万元，经费支出能够控制在年度计划成本范围内，根据评分标准，该指标2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经济成本“监控设备采购金额”指标，预期指标值为“小于等于7.87万元”，根据上级拨付资金文件显示，本项目2023年共计支付2023年城乡义务教育补助经费教育项目资金（公用经费）7.87万元，经费支出能够控制在年度计划成本范围内，根据评分标准，该指标2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经济成本“维修项目金额”指标，预期指标值为“小于等于7万元”，根据上级拨付资金文件显示，本项目2023年共计支付2023年城乡义务教育补助经费教育项目资金（公用经费）7万元，经费支出能够控制在年度计划成本范围内，根据评分标准，该指标2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经济成本“小学取暖费金额”指标，预期指标值为“小于等于12.16万元”，根据上级拨付资金文件显示，本项目2023年共计支付2023年城乡义务教育补助经费教育项目资金（公用经费）12.16万元，经费支出能够控制在年度计划成本范围内，根据评分标准，该指标2分，得2分。</w:t>
      </w:r>
    </w:p>
    <w:p w14:paraId="3C24243C">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五、其他需要说明的问题</w:t>
      </w:r>
    </w:p>
    <w:p w14:paraId="1D1D0BFC">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（一）后续工作计划</w:t>
      </w:r>
    </w:p>
    <w:p w14:paraId="796ECE85">
      <w:pPr>
        <w:keepNext w:val="0"/>
        <w:keepLines w:val="0"/>
        <w:pageBreakBefore w:val="0"/>
        <w:widowControl w:val="0"/>
        <w:kinsoku/>
        <w:wordWrap/>
        <w:overflowPunct/>
        <w:topLinePunct w:val="0"/>
        <w:autoSpaceDE/>
        <w:autoSpaceDN/>
        <w:bidi w:val="0"/>
        <w:adjustRightInd/>
        <w:snapToGrid/>
        <w:spacing w:line="520" w:lineRule="atLeast"/>
        <w:ind w:firstLine="624" w:firstLineChars="200"/>
        <w:jc w:val="left"/>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项目效益类指标由社会效益1个二级指标和2个三级指标构成，权重分为20分，本项目实际得分20分，得分率为20%。具体各项指标得分如下：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1.社会效益指标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“减轻学生家庭经济负担”指标，预期指标值为“有效减轻”，根据本单位年度考核情况，实际完成值为“基本达成目标”，根据评分标准，该指标10分，得10分。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“提高学生体质健康”指标，预期指标值为“有效提升”，根据上级对我单位考核情况，实际完成值为“基本达成目标”，根据评分标准，该指标10分，得10分。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2.经济效益指标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本项目无该项指标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3.生态效益指标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本项目无该项指标</w:t>
      </w:r>
    </w:p>
    <w:p w14:paraId="674063EF">
      <w:pPr>
        <w:keepNext w:val="0"/>
        <w:keepLines w:val="0"/>
        <w:pageBreakBefore w:val="0"/>
        <w:widowControl w:val="0"/>
        <w:kinsoku/>
        <w:wordWrap/>
        <w:overflowPunct/>
        <w:topLinePunct w:val="0"/>
        <w:autoSpaceDE/>
        <w:autoSpaceDN/>
        <w:bidi w:val="0"/>
        <w:adjustRightInd/>
        <w:snapToGrid/>
        <w:spacing w:line="520" w:lineRule="atLeast"/>
        <w:ind w:firstLine="624" w:firstLineChars="200"/>
        <w:jc w:val="left"/>
        <w:textAlignment w:val="auto"/>
        <w:rPr>
          <w:rFonts w:hint="eastAsia" w:ascii="仿宋" w:hAnsi="仿宋" w:eastAsia="仿宋" w:cs="仿宋"/>
          <w:b w:val="0"/>
          <w:bCs w:val="0"/>
          <w:spacing w:val="-4"/>
          <w:sz w:val="32"/>
          <w:szCs w:val="32"/>
        </w:rPr>
      </w:pPr>
    </w:p>
    <w:p w14:paraId="7851089F">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（二）主要经验及做法、存在问题和建议</w:t>
      </w:r>
    </w:p>
    <w:p w14:paraId="5B68389E">
      <w:pPr>
        <w:keepNext w:val="0"/>
        <w:keepLines w:val="0"/>
        <w:pageBreakBefore w:val="0"/>
        <w:widowControl w:val="0"/>
        <w:kinsoku/>
        <w:wordWrap/>
        <w:overflowPunct/>
        <w:topLinePunct w:val="0"/>
        <w:autoSpaceDE/>
        <w:autoSpaceDN/>
        <w:bidi w:val="0"/>
        <w:adjustRightInd/>
        <w:snapToGrid/>
        <w:spacing w:line="520" w:lineRule="atLeast"/>
        <w:ind w:firstLine="624" w:firstLineChars="200"/>
        <w:jc w:val="left"/>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“受益学生满意度”指标，预期指标值为“大于等于95%”，根据对在校的学生进行满意度问卷调查的结果可知，学生满意度达96%，根据评分标准，该指标10分,得10分。</w:t>
      </w:r>
    </w:p>
    <w:p w14:paraId="19E4BDB9">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（三）其他</w:t>
      </w:r>
    </w:p>
    <w:p w14:paraId="7477DEF0">
      <w:pPr>
        <w:keepNext w:val="0"/>
        <w:keepLines w:val="0"/>
        <w:pageBreakBefore w:val="0"/>
        <w:widowControl w:val="0"/>
        <w:kinsoku/>
        <w:wordWrap/>
        <w:overflowPunct/>
        <w:topLinePunct w:val="0"/>
        <w:autoSpaceDE/>
        <w:autoSpaceDN/>
        <w:bidi w:val="0"/>
        <w:adjustRightInd/>
        <w:snapToGrid/>
        <w:spacing w:line="520" w:lineRule="atLeast"/>
        <w:ind w:firstLine="624" w:firstLineChars="200"/>
        <w:jc w:val="left"/>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（一）预算执行进度</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2023年城乡义务教育补助经费教育项目资金（公用经费）项目预算金额55.89万元，实际到位55.89万元，全年项目实际支出55.89万元，预算执行率为100.0%。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（二）绩效指标偏差情况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2023年本单位负责实施的2023年城乡义务教育补助经费教育项目资金（公用经费）项目的绩效目标及指标已经全部达成，不存在偏差情况。</w:t>
      </w:r>
    </w:p>
    <w:p w14:paraId="2BBD346C">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六、项目评价工作情况</w:t>
      </w:r>
    </w:p>
    <w:p w14:paraId="19010E64">
      <w:pPr>
        <w:keepNext w:val="0"/>
        <w:keepLines w:val="0"/>
        <w:pageBreakBefore w:val="0"/>
        <w:widowControl w:val="0"/>
        <w:kinsoku/>
        <w:wordWrap/>
        <w:overflowPunct/>
        <w:topLinePunct w:val="0"/>
        <w:autoSpaceDE/>
        <w:autoSpaceDN/>
        <w:bidi w:val="0"/>
        <w:adjustRightInd/>
        <w:snapToGrid/>
        <w:spacing w:line="520" w:lineRule="atLeast"/>
        <w:ind w:firstLine="624" w:firstLineChars="200"/>
        <w:jc w:val="left"/>
        <w:textAlignment w:val="auto"/>
        <w:rPr>
          <w:rFonts w:hint="eastAsia" w:ascii="仿宋" w:hAnsi="仿宋" w:eastAsia="仿宋" w:cs="仿宋"/>
          <w:b w:val="0"/>
          <w:bCs w:val="0"/>
          <w:spacing w:val="-4"/>
          <w:sz w:val="32"/>
          <w:szCs w:val="32"/>
        </w:rPr>
      </w:pPr>
      <w:r>
        <w:rPr>
          <w:rFonts w:hint="eastAsia" w:ascii="仿宋" w:hAnsi="仿宋" w:eastAsia="仿宋" w:cs="仿宋"/>
          <w:b w:val="0"/>
          <w:bCs w:val="0"/>
          <w:spacing w:val="-4"/>
          <w:sz w:val="32"/>
          <w:szCs w:val="32"/>
        </w:rPr>
        <w:t>包括评价基础数据收集、资料来源和依据等佐证材料情况，项目现场勘验检查核实等情况</w:t>
      </w:r>
    </w:p>
    <w:p w14:paraId="13975C7D">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（一）主要经验及做法</w:t>
      </w:r>
    </w:p>
    <w:p w14:paraId="33514CFC">
      <w:pPr>
        <w:keepNext w:val="0"/>
        <w:keepLines w:val="0"/>
        <w:pageBreakBefore w:val="0"/>
        <w:widowControl w:val="0"/>
        <w:kinsoku/>
        <w:wordWrap/>
        <w:overflowPunct/>
        <w:topLinePunct w:val="0"/>
        <w:autoSpaceDE/>
        <w:autoSpaceDN/>
        <w:bidi w:val="0"/>
        <w:adjustRightInd/>
        <w:snapToGrid/>
        <w:spacing w:line="520" w:lineRule="atLeast"/>
        <w:ind w:firstLine="624" w:firstLineChars="200"/>
        <w:jc w:val="left"/>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1.强化绩效目标刚性约束，及时对项目进行跟踪问效</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bCs/>
          <w:spacing w:val="-4"/>
          <w:sz w:val="32"/>
          <w:szCs w:val="32"/>
        </w:rPr>
        <w:t>（二）存在问题及原因分析</w:t>
      </w:r>
      <w:r>
        <w:rPr>
          <w:rStyle w:val="18"/>
          <w:rFonts w:hint="eastAsia" w:ascii="仿宋" w:hAnsi="仿宋" w:eastAsia="仿宋" w:cs="仿宋"/>
          <w:b/>
          <w:bCs/>
          <w:spacing w:val="-4"/>
          <w:sz w:val="32"/>
          <w:szCs w:val="32"/>
        </w:rPr>
        <w:br w:type="textWrapping"/>
      </w:r>
      <w:r>
        <w:rPr>
          <w:rStyle w:val="18"/>
          <w:rFonts w:hint="eastAsia" w:ascii="仿宋" w:hAnsi="仿宋" w:eastAsia="仿宋" w:cs="仿宋"/>
          <w:b w:val="0"/>
          <w:bCs w:val="0"/>
          <w:spacing w:val="-4"/>
          <w:sz w:val="32"/>
          <w:szCs w:val="32"/>
        </w:rPr>
        <w:t>1.绩效预算认识不够充分，绩效理念有待进一步强化</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2.绩效档案归档工作有待提高</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14:paraId="01831DD7">
      <w:pPr>
        <w:keepNext w:val="0"/>
        <w:keepLines w:val="0"/>
        <w:pageBreakBefore w:val="0"/>
        <w:widowControl w:val="0"/>
        <w:kinsoku/>
        <w:wordWrap/>
        <w:overflowPunct/>
        <w:topLinePunct w:val="0"/>
        <w:autoSpaceDE/>
        <w:autoSpaceDN/>
        <w:bidi w:val="0"/>
        <w:adjustRightInd/>
        <w:snapToGrid/>
        <w:spacing w:line="520" w:lineRule="atLeast"/>
        <w:ind w:firstLine="624" w:firstLineChars="200"/>
        <w:jc w:val="left"/>
        <w:textAlignment w:val="auto"/>
        <w:rPr>
          <w:rFonts w:hint="eastAsia" w:ascii="仿宋" w:hAnsi="仿宋" w:eastAsia="仿宋" w:cs="仿宋"/>
          <w:b w:val="0"/>
          <w:bCs w:val="0"/>
          <w:spacing w:val="-4"/>
          <w:sz w:val="32"/>
          <w:szCs w:val="32"/>
        </w:rPr>
      </w:pPr>
    </w:p>
    <w:p w14:paraId="0C6551FB">
      <w:pPr>
        <w:keepNext w:val="0"/>
        <w:keepLines w:val="0"/>
        <w:pageBreakBefore w:val="0"/>
        <w:widowControl w:val="0"/>
        <w:kinsoku/>
        <w:wordWrap/>
        <w:overflowPunct/>
        <w:topLinePunct w:val="0"/>
        <w:autoSpaceDE/>
        <w:autoSpaceDN/>
        <w:bidi w:val="0"/>
        <w:adjustRightInd/>
        <w:snapToGrid/>
        <w:spacing w:line="520" w:lineRule="atLeast"/>
        <w:ind w:firstLine="624" w:firstLineChars="200"/>
        <w:jc w:val="left"/>
        <w:textAlignment w:val="auto"/>
        <w:rPr>
          <w:rStyle w:val="18"/>
          <w:rFonts w:hint="eastAsia" w:ascii="仿宋" w:hAnsi="仿宋" w:eastAsia="仿宋" w:cs="仿宋"/>
          <w:b w:val="0"/>
          <w:bCs w:val="0"/>
          <w:spacing w:val="-4"/>
          <w:sz w:val="32"/>
          <w:szCs w:val="32"/>
        </w:rPr>
      </w:pPr>
    </w:p>
    <w:p w14:paraId="28D64A81">
      <w:pPr>
        <w:keepNext w:val="0"/>
        <w:keepLines w:val="0"/>
        <w:pageBreakBefore w:val="0"/>
        <w:widowControl w:val="0"/>
        <w:kinsoku/>
        <w:wordWrap/>
        <w:overflowPunct/>
        <w:topLinePunct w:val="0"/>
        <w:autoSpaceDE/>
        <w:autoSpaceDN/>
        <w:bidi w:val="0"/>
        <w:adjustRightInd/>
        <w:snapToGrid/>
        <w:spacing w:line="520" w:lineRule="atLeast"/>
        <w:ind w:firstLine="624" w:firstLineChars="200"/>
        <w:jc w:val="left"/>
        <w:textAlignment w:val="auto"/>
        <w:rPr>
          <w:rStyle w:val="18"/>
          <w:rFonts w:hint="eastAsia" w:ascii="仿宋" w:hAnsi="仿宋" w:eastAsia="仿宋" w:cs="仿宋"/>
          <w:b w:val="0"/>
          <w:bCs w:val="0"/>
          <w:spacing w:val="-4"/>
          <w:sz w:val="32"/>
          <w:szCs w:val="32"/>
        </w:rPr>
      </w:pPr>
    </w:p>
    <w:p w14:paraId="4DE101D8">
      <w:pPr>
        <w:spacing w:line="540" w:lineRule="exact"/>
        <w:ind w:firstLine="567"/>
        <w:rPr>
          <w:rStyle w:val="18"/>
          <w:rFonts w:hint="eastAsia" w:ascii="仿宋" w:hAnsi="仿宋" w:eastAsia="仿宋" w:cs="仿宋"/>
          <w:b w:val="0"/>
          <w:bCs w:val="0"/>
          <w:spacing w:val="-4"/>
          <w:sz w:val="32"/>
          <w:szCs w:val="32"/>
        </w:rPr>
      </w:pPr>
    </w:p>
    <w:p w14:paraId="0EFD0EA9">
      <w:pPr>
        <w:spacing w:line="540" w:lineRule="exact"/>
        <w:ind w:firstLine="567"/>
        <w:rPr>
          <w:rStyle w:val="18"/>
          <w:rFonts w:hint="eastAsia" w:ascii="仿宋" w:hAnsi="仿宋" w:eastAsia="仿宋" w:cs="仿宋"/>
          <w:b w:val="0"/>
          <w:bCs w:val="0"/>
          <w:spacing w:val="-4"/>
          <w:sz w:val="32"/>
          <w:szCs w:val="32"/>
        </w:rPr>
      </w:pPr>
    </w:p>
    <w:p w14:paraId="611D9F12">
      <w:pPr>
        <w:spacing w:line="540" w:lineRule="exact"/>
        <w:ind w:firstLine="567"/>
        <w:rPr>
          <w:rStyle w:val="18"/>
          <w:rFonts w:hint="eastAsia" w:ascii="仿宋" w:hAnsi="仿宋" w:eastAsia="仿宋" w:cs="仿宋"/>
          <w:b w:val="0"/>
          <w:bCs w:val="0"/>
          <w:spacing w:val="-4"/>
          <w:sz w:val="32"/>
          <w:szCs w:val="32"/>
        </w:rPr>
      </w:pPr>
    </w:p>
    <w:p w14:paraId="598D575A">
      <w:pPr>
        <w:spacing w:line="540" w:lineRule="exact"/>
        <w:ind w:firstLine="567"/>
        <w:rPr>
          <w:rStyle w:val="18"/>
          <w:rFonts w:hint="eastAsia" w:ascii="仿宋" w:hAnsi="仿宋" w:eastAsia="仿宋" w:cs="仿宋"/>
          <w:b w:val="0"/>
          <w:bCs w:val="0"/>
          <w:spacing w:val="-4"/>
          <w:sz w:val="32"/>
          <w:szCs w:val="32"/>
        </w:rPr>
      </w:pPr>
    </w:p>
    <w:p w14:paraId="23B4DD80">
      <w:pPr>
        <w:spacing w:line="540" w:lineRule="exact"/>
        <w:ind w:firstLine="567"/>
        <w:rPr>
          <w:rStyle w:val="18"/>
          <w:rFonts w:hint="eastAsia" w:ascii="仿宋" w:hAnsi="仿宋" w:eastAsia="仿宋" w:cs="仿宋"/>
          <w:b w:val="0"/>
          <w:bCs w:val="0"/>
          <w:spacing w:val="-4"/>
          <w:sz w:val="32"/>
          <w:szCs w:val="32"/>
        </w:rPr>
      </w:pPr>
    </w:p>
    <w:p w14:paraId="31FDB63C">
      <w:pPr>
        <w:spacing w:line="540" w:lineRule="exact"/>
        <w:ind w:firstLine="567"/>
        <w:rPr>
          <w:rStyle w:val="18"/>
          <w:rFonts w:hint="eastAsia" w:ascii="仿宋" w:hAnsi="仿宋" w:eastAsia="仿宋" w:cs="仿宋"/>
          <w:b w:val="0"/>
          <w:bCs w:val="0"/>
          <w:spacing w:val="-4"/>
          <w:sz w:val="32"/>
          <w:szCs w:val="32"/>
        </w:rPr>
      </w:pPr>
    </w:p>
    <w:p w14:paraId="00661758">
      <w:pPr>
        <w:spacing w:line="540" w:lineRule="exact"/>
        <w:ind w:firstLine="567"/>
        <w:rPr>
          <w:rStyle w:val="18"/>
          <w:rFonts w:hint="eastAsia" w:ascii="仿宋" w:hAnsi="仿宋" w:eastAsia="仿宋" w:cs="仿宋"/>
          <w:b w:val="0"/>
          <w:bCs w:val="0"/>
          <w:spacing w:val="-4"/>
          <w:sz w:val="32"/>
          <w:szCs w:val="32"/>
        </w:rPr>
      </w:pPr>
    </w:p>
    <w:p w14:paraId="3F09E6A3">
      <w:pPr>
        <w:spacing w:line="540" w:lineRule="exact"/>
        <w:ind w:firstLine="567"/>
        <w:rPr>
          <w:rStyle w:val="18"/>
          <w:rFonts w:hint="eastAsia" w:ascii="仿宋" w:hAnsi="仿宋" w:eastAsia="仿宋" w:cs="仿宋"/>
          <w:b w:val="0"/>
          <w:bCs w:val="0"/>
          <w:spacing w:val="-4"/>
          <w:sz w:val="32"/>
          <w:szCs w:val="32"/>
        </w:rPr>
      </w:pPr>
    </w:p>
    <w:p w14:paraId="7859F611">
      <w:pPr>
        <w:spacing w:line="540" w:lineRule="exact"/>
        <w:ind w:firstLine="567"/>
        <w:rPr>
          <w:rStyle w:val="18"/>
          <w:rFonts w:hint="eastAsia" w:ascii="仿宋" w:hAnsi="仿宋" w:eastAsia="仿宋" w:cs="仿宋"/>
          <w:b w:val="0"/>
          <w:bCs w:val="0"/>
          <w:spacing w:val="-4"/>
          <w:sz w:val="32"/>
          <w:szCs w:val="32"/>
        </w:rPr>
      </w:pPr>
    </w:p>
    <w:p w14:paraId="0F068F55">
      <w:pPr>
        <w:spacing w:line="540" w:lineRule="exact"/>
        <w:ind w:firstLine="567"/>
        <w:rPr>
          <w:rStyle w:val="18"/>
          <w:rFonts w:hint="eastAsia" w:ascii="仿宋" w:hAnsi="仿宋" w:eastAsia="仿宋" w:cs="仿宋"/>
          <w:b w:val="0"/>
          <w:bCs w:val="0"/>
          <w:spacing w:val="-4"/>
          <w:sz w:val="32"/>
          <w:szCs w:val="32"/>
        </w:rPr>
      </w:pPr>
    </w:p>
    <w:p w14:paraId="3BB58AC2">
      <w:pPr>
        <w:spacing w:line="540" w:lineRule="exact"/>
        <w:ind w:firstLine="567"/>
        <w:rPr>
          <w:rStyle w:val="18"/>
          <w:rFonts w:hint="eastAsia" w:ascii="仿宋" w:hAnsi="仿宋" w:eastAsia="仿宋" w:cs="仿宋"/>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7C351F2">
        <w:pPr>
          <w:pStyle w:val="12"/>
          <w:jc w:val="center"/>
        </w:pPr>
        <w:r>
          <w:fldChar w:fldCharType="begin"/>
        </w:r>
        <w:r>
          <w:instrText xml:space="preserve">PAGE   \* MERGEFORMAT</w:instrText>
        </w:r>
        <w:r>
          <w:fldChar w:fldCharType="separate"/>
        </w:r>
        <w:r>
          <w:rPr>
            <w:lang w:val="zh-CN"/>
          </w:rPr>
          <w:t>1</w:t>
        </w:r>
        <w:r>
          <w:fldChar w:fldCharType="end"/>
        </w:r>
      </w:p>
    </w:sdtContent>
  </w:sdt>
  <w:p w14:paraId="2A1A21D1">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2N2IxYjA3ZTAzYjQyYmNlNmUwNjQ3NDM4YzkwNjc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26A1A58"/>
    <w:rsid w:val="48853CC3"/>
    <w:rsid w:val="49BE7A82"/>
    <w:rsid w:val="4D2606A1"/>
    <w:rsid w:val="4F1C13CB"/>
    <w:rsid w:val="5DFE15E4"/>
    <w:rsid w:val="62BE7487"/>
    <w:rsid w:val="62FF6E8F"/>
    <w:rsid w:val="63680B01"/>
    <w:rsid w:val="768C30E5"/>
    <w:rsid w:val="7A881F8E"/>
    <w:rsid w:val="7F693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3"/>
    <w:qFormat/>
    <w:uiPriority w:val="9"/>
    <w:rPr>
      <w:rFonts w:asciiTheme="majorHAnsi" w:hAnsiTheme="majorHAnsi" w:eastAsiaTheme="majorEastAsia"/>
      <w:b/>
      <w:bCs/>
      <w:kern w:val="32"/>
      <w:sz w:val="32"/>
      <w:szCs w:val="32"/>
    </w:rPr>
  </w:style>
  <w:style w:type="character" w:customStyle="1" w:styleId="21">
    <w:name w:val="标题 2 字符"/>
    <w:basedOn w:val="17"/>
    <w:link w:val="4"/>
    <w:semiHidden/>
    <w:qFormat/>
    <w:uiPriority w:val="9"/>
    <w:rPr>
      <w:rFonts w:asciiTheme="majorHAnsi" w:hAnsiTheme="majorHAnsi" w:eastAsiaTheme="majorEastAsia"/>
      <w:b/>
      <w:bCs/>
      <w:i/>
      <w:iCs/>
      <w:sz w:val="28"/>
      <w:szCs w:val="28"/>
    </w:rPr>
  </w:style>
  <w:style w:type="character" w:customStyle="1" w:styleId="22">
    <w:name w:val="标题 3 字符"/>
    <w:basedOn w:val="17"/>
    <w:link w:val="2"/>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3"/>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4705</Words>
  <Characters>4920</Characters>
  <Lines>1</Lines>
  <Paragraphs>1</Paragraphs>
  <TotalTime>2</TotalTime>
  <ScaleCrop>false</ScaleCrop>
  <LinksUpToDate>false</LinksUpToDate>
  <CharactersWithSpaces>5213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煽情</cp:lastModifiedBy>
  <cp:lastPrinted>2018-12-31T10:56:00Z</cp:lastPrinted>
  <dcterms:modified xsi:type="dcterms:W3CDTF">2024-11-08T12:23:03Z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21B82E861FC64135B1F54579190C609D</vt:lpwstr>
  </property>
</Properties>
</file>